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9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  <w:lang w:val="en-US" w:eastAsia="zh-CN"/>
        </w:rPr>
        <w:t>1</w:t>
      </w:r>
    </w:p>
    <w:p w14:paraId="3791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投稿撰写要求</w:t>
      </w:r>
    </w:p>
    <w:p w14:paraId="4777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textAlignment w:val="auto"/>
        <w:rPr>
          <w:b/>
          <w:bCs/>
          <w:sz w:val="24"/>
        </w:rPr>
      </w:pPr>
    </w:p>
    <w:p w14:paraId="775A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1.手册宗旨与内容定位</w:t>
      </w:r>
    </w:p>
    <w:p w14:paraId="11B9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rFonts w:hint="eastAsia"/>
          <w:sz w:val="28"/>
          <w:szCs w:val="28"/>
        </w:rPr>
        <w:t>手册定位</w:t>
      </w:r>
    </w:p>
    <w:p w14:paraId="5607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《新形势下涉外法律服务手册（暂定名）》是由厦门市律师协会策划出版、面向涉外企业管理者、法务人员及律师同仁的实务工具书，旨在汇集厦门律师在涉外法律领域的实践经验和研究心得，以实务场景及问题为导向，为外经贸企业提供法律服务指引。</w:t>
      </w:r>
    </w:p>
    <w:p w14:paraId="6566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rFonts w:hint="eastAsia"/>
          <w:sz w:val="28"/>
          <w:szCs w:val="28"/>
        </w:rPr>
        <w:t>内容导向</w:t>
      </w:r>
    </w:p>
    <w:p w14:paraId="34EE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1.2.1实务优先：重点收录具有实际操作指导价值的文章</w:t>
      </w:r>
    </w:p>
    <w:p w14:paraId="1C42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1.2.2问题导向：从企业实际面临的法律问题切入</w:t>
      </w:r>
    </w:p>
    <w:p w14:paraId="2370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1.2.3案例支撑：鼓励使用真实案例（经脱敏处理）或以典型实务场景进行分析</w:t>
      </w:r>
    </w:p>
    <w:p w14:paraId="5A03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1.2.4前沿关注：关注新形势下从传统领域到新兴领域的相关热点问题</w:t>
      </w:r>
    </w:p>
    <w:p w14:paraId="20CF7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rFonts w:hint="eastAsia"/>
          <w:sz w:val="28"/>
          <w:szCs w:val="28"/>
        </w:rPr>
        <w:t>文章类型</w:t>
      </w:r>
    </w:p>
    <w:p w14:paraId="11860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1.3.1实务指引：对外经贸企业可能面临的实务性问题提出建议与方案</w:t>
      </w:r>
    </w:p>
    <w:p w14:paraId="5AB5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1.3.2案例分析：以点带面、提炼出更具普遍性及代表性的法律问题</w:t>
      </w:r>
    </w:p>
    <w:p w14:paraId="4CC9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1.3.3专题研究：必须是对实务有参考和指导价值的小而精的专题研究，不鼓励大而全或纯理论的研究</w:t>
      </w:r>
    </w:p>
    <w:p w14:paraId="18E1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1.4 内容要求</w:t>
      </w:r>
    </w:p>
    <w:p w14:paraId="2A80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1.4.1独创性：谢绝大量引用线上可查询信息或他人观点。如作为背景介绍，可引用要点，注明出处，文章的主要部分及核心思想要有独创性</w:t>
      </w:r>
    </w:p>
    <w:p w14:paraId="0641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1.4.2即时性：要结合现行的法律、政策的变化及时检索更新，除非作为背景介绍，谢绝引用已过时的法律法规、政策或案例</w:t>
      </w:r>
    </w:p>
    <w:p w14:paraId="78CA8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1.4.3人工性：谢绝AI投稿。如借助AI作为辅助工具，请务必以人工进行审查把关</w:t>
      </w:r>
    </w:p>
    <w:p w14:paraId="47B02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1.4.4实务性与篇幅限制：请严格控制字数在3</w:t>
      </w:r>
      <w:r>
        <w:rPr>
          <w:sz w:val="28"/>
          <w:szCs w:val="28"/>
        </w:rPr>
        <w:t>000-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字之间，重视解决实务问题，短小精悍为佳，谢绝长篇累牍进行观点阐述或理论分析</w:t>
      </w:r>
    </w:p>
    <w:p w14:paraId="538B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1.5 投稿要求</w:t>
      </w:r>
    </w:p>
    <w:p w14:paraId="6AFF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投稿即视为</w:t>
      </w:r>
      <w:r>
        <w:rPr>
          <w:rFonts w:hint="eastAsia"/>
          <w:sz w:val="28"/>
          <w:szCs w:val="28"/>
        </w:rPr>
        <w:t>接受本编委会</w:t>
      </w:r>
      <w:r>
        <w:rPr>
          <w:sz w:val="28"/>
          <w:szCs w:val="28"/>
        </w:rPr>
        <w:t>对稿件</w:t>
      </w:r>
      <w:r>
        <w:rPr>
          <w:rFonts w:hint="eastAsia"/>
          <w:sz w:val="28"/>
          <w:szCs w:val="28"/>
        </w:rPr>
        <w:t>提出修改要求或直接进行</w:t>
      </w:r>
      <w:r>
        <w:rPr>
          <w:sz w:val="28"/>
          <w:szCs w:val="28"/>
        </w:rPr>
        <w:t>修改</w:t>
      </w:r>
      <w:r>
        <w:rPr>
          <w:rFonts w:hint="eastAsia"/>
          <w:sz w:val="28"/>
          <w:szCs w:val="28"/>
        </w:rPr>
        <w:t>、决定采用或不予采用，如采用后可以纸质版或其它方式出版、发表或推送，如不予采用也不退稿</w:t>
      </w:r>
    </w:p>
    <w:p w14:paraId="09AD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2.文章规范</w:t>
      </w:r>
    </w:p>
    <w:p w14:paraId="1E03E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>
        <w:rPr>
          <w:rFonts w:hint="eastAsia"/>
          <w:sz w:val="28"/>
          <w:szCs w:val="28"/>
        </w:rPr>
        <w:t>必备组成部分（按顺序）</w:t>
      </w:r>
    </w:p>
    <w:p w14:paraId="0671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2.1.1 标题</w:t>
      </w:r>
    </w:p>
    <w:p w14:paraId="5CCA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2.2.2 作者信息</w:t>
      </w:r>
    </w:p>
    <w:p w14:paraId="6CC6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2.2.3 摘要</w:t>
      </w:r>
    </w:p>
    <w:p w14:paraId="1FAA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2.2.4 关键词</w:t>
      </w:r>
    </w:p>
    <w:p w14:paraId="7467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2.2.5 正文（含分级标题）</w:t>
      </w:r>
    </w:p>
    <w:p w14:paraId="3E07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2.2.6 注释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参考文献（如有）</w:t>
      </w:r>
    </w:p>
    <w:p w14:paraId="32CE6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2.2.7 作者简介（可选）</w:t>
      </w:r>
    </w:p>
    <w:p w14:paraId="2992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>
        <w:rPr>
          <w:rFonts w:hint="eastAsia"/>
          <w:sz w:val="28"/>
          <w:szCs w:val="28"/>
        </w:rPr>
        <w:t>各部分详细要求</w:t>
      </w:r>
    </w:p>
    <w:p w14:paraId="3249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2.2.1标题</w:t>
      </w:r>
    </w:p>
    <w:p w14:paraId="0AEA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应准确反映文章核心内容，如：《从</w:t>
      </w:r>
      <w:r>
        <w:rPr>
          <w:sz w:val="28"/>
          <w:szCs w:val="28"/>
        </w:rPr>
        <w:t>GAFTA</w:t>
      </w:r>
      <w:r>
        <w:rPr>
          <w:rFonts w:hint="eastAsia"/>
          <w:sz w:val="28"/>
          <w:szCs w:val="28"/>
        </w:rPr>
        <w:t>仲裁案看国际粮油贸易合同付款条款设计》</w:t>
      </w:r>
      <w:r>
        <w:rPr>
          <w:sz w:val="28"/>
          <w:szCs w:val="28"/>
        </w:rPr>
        <w:t xml:space="preserve">   </w:t>
      </w:r>
    </w:p>
    <w:p w14:paraId="0598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建议采用“问题</w:t>
      </w:r>
      <w:r>
        <w:rPr>
          <w:sz w:val="28"/>
          <w:szCs w:val="28"/>
        </w:rPr>
        <w:t>+</w:t>
      </w:r>
      <w:r>
        <w:rPr>
          <w:rFonts w:hint="eastAsia"/>
          <w:sz w:val="28"/>
          <w:szCs w:val="28"/>
        </w:rPr>
        <w:t>领域”格式，如：《企业应对美国“</w:t>
      </w:r>
      <w:r>
        <w:rPr>
          <w:sz w:val="28"/>
          <w:szCs w:val="28"/>
        </w:rPr>
        <w:t>301</w:t>
      </w:r>
      <w:r>
        <w:rPr>
          <w:rFonts w:hint="eastAsia"/>
          <w:sz w:val="28"/>
          <w:szCs w:val="28"/>
        </w:rPr>
        <w:t>调查”的合规路径指引》</w:t>
      </w:r>
    </w:p>
    <w:p w14:paraId="0D891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避免使用模糊、夸张或过于学术化的表述，如：《论国际贸易法若干问题研究》</w:t>
      </w:r>
    </w:p>
    <w:p w14:paraId="1B18F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2.2.2作者信息</w:t>
      </w:r>
    </w:p>
    <w:p w14:paraId="1862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作者：如为联合作者，第一作者必须是厦门市律师协会会员，且每篇文章作者总数不超过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人</w:t>
      </w:r>
    </w:p>
    <w:p w14:paraId="37D6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- 单位：律师事务所全称，如“福建天衡联合律师事务所” </w:t>
      </w:r>
    </w:p>
    <w:p w14:paraId="4682A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2.2.3摘要</w:t>
      </w:r>
    </w:p>
    <w:p w14:paraId="685E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字数：</w:t>
      </w:r>
      <w:r>
        <w:rPr>
          <w:sz w:val="28"/>
          <w:szCs w:val="28"/>
        </w:rPr>
        <w:t>200-300</w:t>
      </w:r>
      <w:r>
        <w:rPr>
          <w:rFonts w:hint="eastAsia"/>
          <w:sz w:val="28"/>
          <w:szCs w:val="28"/>
        </w:rPr>
        <w:t>字</w:t>
      </w:r>
    </w:p>
    <w:p w14:paraId="5F69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内容应包含：</w:t>
      </w:r>
    </w:p>
    <w:p w14:paraId="42801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>
        <w:rPr>
          <w:rFonts w:hint="eastAsia"/>
          <w:sz w:val="28"/>
          <w:szCs w:val="28"/>
        </w:rPr>
        <w:t>文章针对的实务问题</w:t>
      </w:r>
    </w:p>
    <w:p w14:paraId="0F38F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>
        <w:rPr>
          <w:rFonts w:hint="eastAsia"/>
          <w:sz w:val="28"/>
          <w:szCs w:val="28"/>
        </w:rPr>
        <w:t>核心观点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主要结论</w:t>
      </w:r>
    </w:p>
    <w:p w14:paraId="0FD9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>
        <w:rPr>
          <w:rFonts w:hint="eastAsia"/>
          <w:sz w:val="28"/>
          <w:szCs w:val="28"/>
        </w:rPr>
        <w:t>对读者的实用价值</w:t>
      </w:r>
    </w:p>
    <w:p w14:paraId="59D7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- 应从第三人视角拟写，避免使用“本文”“笔者”等第一人称视角</w:t>
      </w:r>
    </w:p>
    <w:p w14:paraId="41C88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示例：</w:t>
      </w:r>
    </w:p>
    <w:p w14:paraId="327A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近期，中国企业频繁遭遇欧盟强迫劳动条例（FLR）调查为，FLR的适用范围和调查程序显得尤为重要。企业可运用“四步法”应对FLR调查：风险筛查、证据准备、第三方审计和合规整改。同时，运用供应链合规自查清单和问卷模板，也可协助企业更好地管理风险。</w:t>
      </w:r>
    </w:p>
    <w:p w14:paraId="60098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2.2.4关键词</w:t>
      </w:r>
    </w:p>
    <w:p w14:paraId="0698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数量为</w:t>
      </w:r>
      <w:r>
        <w:rPr>
          <w:sz w:val="28"/>
          <w:szCs w:val="28"/>
        </w:rPr>
        <w:t>3-5</w:t>
      </w:r>
      <w:r>
        <w:rPr>
          <w:rFonts w:hint="eastAsia"/>
          <w:sz w:val="28"/>
          <w:szCs w:val="28"/>
        </w:rPr>
        <w:t>个，用分号隔开</w:t>
      </w:r>
    </w:p>
    <w:p w14:paraId="2154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应包含实务领域和核心法律点且利于检索关键内容</w:t>
      </w:r>
    </w:p>
    <w:p w14:paraId="57C1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示例：数据出境；安全评估；合规申报；跨境传输</w:t>
      </w:r>
    </w:p>
    <w:p w14:paraId="166F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2.2.5正文：逻辑清晰、观点明确、论据充分且实务性强</w:t>
      </w:r>
    </w:p>
    <w:p w14:paraId="0C32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2.2.6注释与参考文献</w:t>
      </w:r>
    </w:p>
    <w:p w14:paraId="4194C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注释位置：建议采用脚注</w:t>
      </w:r>
      <w:bookmarkStart w:id="0" w:name="_GoBack"/>
      <w:bookmarkEnd w:id="0"/>
    </w:p>
    <w:p w14:paraId="1842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引用原则：凡引用法律法规、案例、著作、文章等均需注明出处</w:t>
      </w:r>
    </w:p>
    <w:p w14:paraId="48C82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时效要求：引用的法律法规、政策文件应注明相应年份。如《中华人民共和国公司法（2023年修订）》</w:t>
      </w:r>
    </w:p>
    <w:p w14:paraId="0E17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参考文献：以“[1][2][3]”形式为序，以尾注形式列于文末</w:t>
      </w:r>
    </w:p>
    <w:p w14:paraId="6333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注释是对文中内容所做的解释，参考文献是引用内容出处</w:t>
      </w:r>
    </w:p>
    <w:p w14:paraId="630F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 格式规范</w:t>
      </w:r>
    </w:p>
    <w:p w14:paraId="5E9CA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>
        <w:rPr>
          <w:rFonts w:hint="eastAsia"/>
          <w:sz w:val="28"/>
          <w:szCs w:val="28"/>
        </w:rPr>
        <w:t>文档格式</w:t>
      </w:r>
    </w:p>
    <w:p w14:paraId="7371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3.1.1文件格式：</w:t>
      </w:r>
      <w:r>
        <w:rPr>
          <w:sz w:val="28"/>
          <w:szCs w:val="28"/>
        </w:rPr>
        <w:t>Microsoft Word (.docx)</w:t>
      </w:r>
    </w:p>
    <w:p w14:paraId="4D4E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3.1.2文件名：涉外手册投稿+作者姓名+单位+文章标题</w:t>
      </w:r>
      <w:r>
        <w:rPr>
          <w:sz w:val="28"/>
          <w:szCs w:val="28"/>
        </w:rPr>
        <w:t>.docx</w:t>
      </w:r>
      <w:r>
        <w:rPr>
          <w:rFonts w:hint="eastAsia"/>
          <w:sz w:val="28"/>
          <w:szCs w:val="28"/>
        </w:rPr>
        <w:t>（如：涉外手册投稿+陈遥+福建世礼律师事务所+跨境破产立法与实践之中、新、韩三国透视</w:t>
      </w:r>
      <w:r>
        <w:rPr>
          <w:sz w:val="28"/>
          <w:szCs w:val="28"/>
        </w:rPr>
        <w:t>.docx</w:t>
      </w:r>
      <w:r>
        <w:rPr>
          <w:rFonts w:hint="eastAsia"/>
          <w:sz w:val="28"/>
          <w:szCs w:val="28"/>
        </w:rPr>
        <w:t>）</w:t>
      </w:r>
    </w:p>
    <w:p w14:paraId="5FA4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>
        <w:rPr>
          <w:rFonts w:hint="eastAsia"/>
          <w:sz w:val="28"/>
          <w:szCs w:val="28"/>
        </w:rPr>
        <w:t>排版格式</w:t>
      </w:r>
    </w:p>
    <w:p w14:paraId="2D094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3.2.1页面设置：</w:t>
      </w:r>
      <w:r>
        <w:rPr>
          <w:sz w:val="28"/>
          <w:szCs w:val="28"/>
        </w:rPr>
        <w:t>A4</w:t>
      </w:r>
      <w:r>
        <w:rPr>
          <w:rFonts w:hint="eastAsia"/>
          <w:sz w:val="28"/>
          <w:szCs w:val="28"/>
        </w:rPr>
        <w:t>，上下</w:t>
      </w:r>
      <w:r>
        <w:rPr>
          <w:sz w:val="28"/>
          <w:szCs w:val="28"/>
        </w:rPr>
        <w:t>2.5cm</w:t>
      </w:r>
      <w:r>
        <w:rPr>
          <w:rFonts w:hint="eastAsia"/>
          <w:sz w:val="28"/>
          <w:szCs w:val="28"/>
        </w:rPr>
        <w:t>，左右</w:t>
      </w:r>
      <w:r>
        <w:rPr>
          <w:sz w:val="28"/>
          <w:szCs w:val="28"/>
        </w:rPr>
        <w:t xml:space="preserve">3.0cm </w:t>
      </w:r>
    </w:p>
    <w:p w14:paraId="5C9C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3.2.2 字体和字号</w:t>
      </w:r>
    </w:p>
    <w:p w14:paraId="771E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标题：</w:t>
      </w:r>
    </w:p>
    <w:p w14:paraId="3F3A2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标题层级（最多三级）</w:t>
      </w:r>
    </w:p>
    <w:p w14:paraId="3613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-“一、二、三”一级标题（三号宋体加粗）</w:t>
      </w:r>
    </w:p>
    <w:p w14:paraId="21EB9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-“（一）（二）（三）”二级标题（四号宋体加粗）</w:t>
      </w:r>
    </w:p>
    <w:p w14:paraId="67510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-“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2. 3.”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三级标题（小四宋体加粗）</w:t>
      </w:r>
    </w:p>
    <w:p w14:paraId="2A3E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-“（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）（2）（3）”如需四级，可用加粗正文表示，但不建议</w:t>
      </w:r>
    </w:p>
    <w:p w14:paraId="3806B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摘要、关键词：楷体小四；</w:t>
      </w:r>
    </w:p>
    <w:p w14:paraId="796F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正文：宋体小四</w:t>
      </w:r>
    </w:p>
    <w:p w14:paraId="1223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注释、参考文献：宋体小五</w:t>
      </w:r>
    </w:p>
    <w:p w14:paraId="3330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英文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数字：</w:t>
      </w:r>
      <w:r>
        <w:rPr>
          <w:sz w:val="28"/>
          <w:szCs w:val="28"/>
        </w:rPr>
        <w:t>Times New Roman</w:t>
      </w:r>
      <w:r>
        <w:rPr>
          <w:rFonts w:hint="eastAsia"/>
          <w:sz w:val="28"/>
          <w:szCs w:val="28"/>
        </w:rPr>
        <w:t>（12pt）</w:t>
      </w:r>
    </w:p>
    <w:p w14:paraId="21FD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3.2.3行距：正文：</w:t>
      </w:r>
      <w:r>
        <w:rPr>
          <w:sz w:val="28"/>
          <w:szCs w:val="28"/>
        </w:rPr>
        <w:t>1.5</w:t>
      </w:r>
      <w:r>
        <w:rPr>
          <w:rFonts w:hint="eastAsia"/>
          <w:sz w:val="28"/>
          <w:szCs w:val="28"/>
        </w:rPr>
        <w:t>倍行距；注释和参考文献：单倍行距；</w:t>
      </w:r>
    </w:p>
    <w:p w14:paraId="40204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对齐方式：两端对齐，段落缩进，首行缩进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字符</w:t>
      </w:r>
      <w:r>
        <w:rPr>
          <w:sz w:val="28"/>
          <w:szCs w:val="28"/>
        </w:rPr>
        <w:t xml:space="preserve"> </w:t>
      </w:r>
    </w:p>
    <w:p w14:paraId="1F81B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3.3 </w:t>
      </w:r>
    </w:p>
    <w:p w14:paraId="2865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>
        <w:rPr>
          <w:rFonts w:hint="eastAsia"/>
          <w:sz w:val="28"/>
          <w:szCs w:val="28"/>
        </w:rPr>
        <w:t>数字与单位</w:t>
      </w:r>
    </w:p>
    <w:p w14:paraId="0F9D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数字：千位以上使用千分位分隔符（如</w:t>
      </w:r>
      <w:r>
        <w:rPr>
          <w:sz w:val="28"/>
          <w:szCs w:val="28"/>
        </w:rPr>
        <w:t>1,000,000</w:t>
      </w:r>
      <w:r>
        <w:rPr>
          <w:rFonts w:hint="eastAsia"/>
          <w:sz w:val="28"/>
          <w:szCs w:val="28"/>
        </w:rPr>
        <w:t>）</w:t>
      </w:r>
    </w:p>
    <w:p w14:paraId="2664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日期：统一使用“年月日”格式，如</w:t>
      </w:r>
      <w:r>
        <w:rPr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p w14:paraId="39BB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货币：注明币种，如</w:t>
      </w:r>
      <w:r>
        <w:rPr>
          <w:sz w:val="28"/>
          <w:szCs w:val="28"/>
        </w:rPr>
        <w:t>USD 100,000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CNY 500,000</w:t>
      </w:r>
    </w:p>
    <w:p w14:paraId="1F963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百分比：使用“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”符号，如</w:t>
      </w:r>
      <w:r>
        <w:rPr>
          <w:sz w:val="28"/>
          <w:szCs w:val="28"/>
        </w:rPr>
        <w:t>15%</w:t>
      </w:r>
    </w:p>
    <w:p w14:paraId="0E34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.参考文献规范示例</w:t>
      </w:r>
    </w:p>
    <w:p w14:paraId="2CD67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>
        <w:rPr>
          <w:rFonts w:hint="eastAsia"/>
          <w:sz w:val="28"/>
          <w:szCs w:val="28"/>
        </w:rPr>
        <w:t>法律法规</w:t>
      </w:r>
    </w:p>
    <w:p w14:paraId="3395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《中华人民共和国公司法（2023年修订）》第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条、《中华人民共和国海商法（2025年修订）》第52条</w:t>
      </w:r>
    </w:p>
    <w:p w14:paraId="4804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《数据出境安全评估办法》（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日国家互联网信息办公室令第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号）第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条第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款。</w:t>
      </w:r>
    </w:p>
    <w:p w14:paraId="38E5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>
        <w:rPr>
          <w:rFonts w:hint="eastAsia"/>
          <w:sz w:val="28"/>
          <w:szCs w:val="28"/>
        </w:rPr>
        <w:t>司法案例</w:t>
      </w:r>
    </w:p>
    <w:p w14:paraId="6FFC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最高人民法院（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）最高法民终</w:t>
      </w:r>
      <w:r>
        <w:rPr>
          <w:sz w:val="28"/>
          <w:szCs w:val="28"/>
        </w:rPr>
        <w:t>1234</w:t>
      </w:r>
      <w:r>
        <w:rPr>
          <w:rFonts w:hint="eastAsia"/>
          <w:sz w:val="28"/>
          <w:szCs w:val="28"/>
        </w:rPr>
        <w:t>号民事判决书。</w:t>
      </w:r>
    </w:p>
    <w:p w14:paraId="4837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新加坡高等法院判决书：</w:t>
      </w:r>
      <w:r>
        <w:rPr>
          <w:sz w:val="28"/>
          <w:szCs w:val="28"/>
        </w:rPr>
        <w:t>GNC v. ONI [2023] SGHC 56</w:t>
      </w:r>
      <w:r>
        <w:rPr>
          <w:rFonts w:hint="eastAsia"/>
          <w:sz w:val="28"/>
          <w:szCs w:val="28"/>
        </w:rPr>
        <w:t>。</w:t>
      </w:r>
    </w:p>
    <w:p w14:paraId="6F03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>
        <w:rPr>
          <w:rFonts w:hint="eastAsia"/>
          <w:sz w:val="28"/>
          <w:szCs w:val="28"/>
        </w:rPr>
        <w:t>仲裁裁决</w:t>
      </w:r>
    </w:p>
    <w:p w14:paraId="7FFB0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GAFTA</w:t>
      </w:r>
      <w:r>
        <w:rPr>
          <w:rFonts w:hint="eastAsia"/>
          <w:sz w:val="28"/>
          <w:szCs w:val="28"/>
        </w:rPr>
        <w:t>仲裁裁决，案号：</w:t>
      </w:r>
      <w:r>
        <w:rPr>
          <w:sz w:val="28"/>
          <w:szCs w:val="28"/>
        </w:rPr>
        <w:t>Arbitration No. 2023-456</w:t>
      </w:r>
      <w:r>
        <w:rPr>
          <w:rFonts w:hint="eastAsia"/>
          <w:sz w:val="28"/>
          <w:szCs w:val="28"/>
        </w:rPr>
        <w:t>。</w:t>
      </w:r>
    </w:p>
    <w:p w14:paraId="73A37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中国国际经济贸易仲裁委员会（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）贸仲裁字第</w:t>
      </w:r>
      <w:r>
        <w:rPr>
          <w:sz w:val="28"/>
          <w:szCs w:val="28"/>
        </w:rPr>
        <w:t>0789</w:t>
      </w:r>
      <w:r>
        <w:rPr>
          <w:rFonts w:hint="eastAsia"/>
          <w:sz w:val="28"/>
          <w:szCs w:val="28"/>
        </w:rPr>
        <w:t>号裁决书。</w:t>
      </w:r>
    </w:p>
    <w:p w14:paraId="20095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>
        <w:rPr>
          <w:rFonts w:hint="eastAsia"/>
          <w:sz w:val="28"/>
          <w:szCs w:val="28"/>
        </w:rPr>
        <w:t>著作</w:t>
      </w:r>
    </w:p>
    <w:p w14:paraId="12225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单著：陈卫佐，《比较国际私法》，法律出版社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年版，第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页。</w:t>
      </w:r>
    </w:p>
    <w:p w14:paraId="7974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合著：韩立余、史晓丽主编，《国际贸易法》，中国人民大学出版社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年版，第</w:t>
      </w:r>
      <w:r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>页。</w:t>
      </w:r>
    </w:p>
    <w:p w14:paraId="77D83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译著：</w:t>
      </w:r>
      <w:r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美</w:t>
      </w:r>
      <w:r>
        <w:rPr>
          <w:sz w:val="28"/>
          <w:szCs w:val="28"/>
        </w:rPr>
        <w:t>]</w:t>
      </w:r>
      <w:r>
        <w:rPr>
          <w:rFonts w:hint="eastAsia"/>
          <w:sz w:val="28"/>
          <w:szCs w:val="28"/>
        </w:rPr>
        <w:t>加里·</w:t>
      </w:r>
      <w:r>
        <w:rPr>
          <w:sz w:val="28"/>
          <w:szCs w:val="28"/>
        </w:rPr>
        <w:t>B.</w:t>
      </w:r>
      <w:r>
        <w:rPr>
          <w:rFonts w:hint="eastAsia"/>
          <w:sz w:val="28"/>
          <w:szCs w:val="28"/>
        </w:rPr>
        <w:t>博恩著，陈福勇等译，《国际仲裁：法律与实践》，商务印书馆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年版，第</w:t>
      </w:r>
      <w:r>
        <w:rPr>
          <w:sz w:val="28"/>
          <w:szCs w:val="28"/>
        </w:rPr>
        <w:t>78</w:t>
      </w:r>
      <w:r>
        <w:rPr>
          <w:rFonts w:hint="eastAsia"/>
          <w:sz w:val="28"/>
          <w:szCs w:val="28"/>
        </w:rPr>
        <w:t>页。</w:t>
      </w:r>
    </w:p>
    <w:p w14:paraId="6FB0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>
        <w:rPr>
          <w:rFonts w:hint="eastAsia"/>
          <w:sz w:val="28"/>
          <w:szCs w:val="28"/>
        </w:rPr>
        <w:t>期刊文章</w:t>
      </w:r>
    </w:p>
    <w:p w14:paraId="49E1D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eastAsia"/>
          <w:sz w:val="28"/>
          <w:szCs w:val="28"/>
        </w:rPr>
        <w:t>[韩]卢泰岳，《韩国破产法最新修改与破产法院的设立》，李英译，《中国政法大学学报》，2018年第4期。</w:t>
      </w:r>
    </w:p>
    <w:p w14:paraId="5C2A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- 黄贤华，《我国法院承认境外破产程序的审查标准》，《中国政法大学学报》，2024年第4期</w:t>
      </w:r>
    </w:p>
    <w:p w14:paraId="5D63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- Gary B. Born, “International Arbitration: Law and Practice”, *American Journal of International Law*, Vol. 115, No. 2 (2021), pp. 345-368.</w:t>
      </w:r>
    </w:p>
    <w:p w14:paraId="6197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>
        <w:rPr>
          <w:rFonts w:hint="eastAsia"/>
          <w:sz w:val="28"/>
          <w:szCs w:val="28"/>
        </w:rPr>
        <w:t>网络资源</w:t>
      </w:r>
    </w:p>
    <w:p w14:paraId="1124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商务部：《</w:t>
      </w:r>
      <w:r>
        <w:rPr>
          <w:sz w:val="28"/>
          <w:szCs w:val="28"/>
        </w:rPr>
        <w:t>2023</w:t>
      </w:r>
      <w:r>
        <w:rPr>
          <w:rFonts w:hint="eastAsia"/>
          <w:sz w:val="28"/>
          <w:szCs w:val="28"/>
        </w:rPr>
        <w:t>年中国对外直接投资统计公报》，</w:t>
      </w:r>
      <w:r>
        <w:rPr>
          <w:sz w:val="28"/>
          <w:szCs w:val="28"/>
        </w:rPr>
        <w:t>https://www.mofcom.gov.cn/article/...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日访问。</w:t>
      </w:r>
    </w:p>
    <w:p w14:paraId="34A0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 权利声明</w:t>
      </w:r>
    </w:p>
    <w:p w14:paraId="4E25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5.1投稿文章应为原创且未在其他正式出版物上发表 </w:t>
      </w:r>
    </w:p>
    <w:p w14:paraId="5BA4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5.2作者保证文章不侵犯他人知识产权</w:t>
      </w:r>
    </w:p>
    <w:p w14:paraId="41F7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5.3手册出版后，文章著作权仍归作者所有，厦门市律师协会有权在手册及相关宣传中使用</w:t>
      </w:r>
    </w:p>
    <w:sectPr>
      <w:pgSz w:w="11906" w:h="16838"/>
      <w:pgMar w:top="2098" w:right="1474" w:bottom="192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BF"/>
    <w:rsid w:val="00135985"/>
    <w:rsid w:val="001A73D9"/>
    <w:rsid w:val="001E667D"/>
    <w:rsid w:val="00281B16"/>
    <w:rsid w:val="00371386"/>
    <w:rsid w:val="00371BD9"/>
    <w:rsid w:val="00491447"/>
    <w:rsid w:val="006C5061"/>
    <w:rsid w:val="006E12A4"/>
    <w:rsid w:val="00A824E0"/>
    <w:rsid w:val="00B605BF"/>
    <w:rsid w:val="00B77D00"/>
    <w:rsid w:val="00BD5979"/>
    <w:rsid w:val="00F07B83"/>
    <w:rsid w:val="00FC0D05"/>
    <w:rsid w:val="0F6926CA"/>
    <w:rsid w:val="1CB303A9"/>
    <w:rsid w:val="217F0729"/>
    <w:rsid w:val="287113E7"/>
    <w:rsid w:val="30CF216F"/>
    <w:rsid w:val="409F1A20"/>
    <w:rsid w:val="41446E23"/>
    <w:rsid w:val="42B50F19"/>
    <w:rsid w:val="46CA3B6E"/>
    <w:rsid w:val="57847075"/>
    <w:rsid w:val="61EC306C"/>
    <w:rsid w:val="67C11874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2266</Words>
  <Characters>2774</Characters>
  <Lines>85</Lines>
  <Paragraphs>50</Paragraphs>
  <TotalTime>0</TotalTime>
  <ScaleCrop>false</ScaleCrop>
  <LinksUpToDate>false</LinksUpToDate>
  <CharactersWithSpaces>2894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2026-02-05T09:07:00Z</dcterms:created>
  <dc:creator>法律狂人-曾辉</dc:creator>
  <cp:lastModifiedBy>厦门律协</cp:lastModifiedBy>
  <dcterms:modified xsi:type="dcterms:W3CDTF">2026-04-07T03:12:58Z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6BE1BDE630C741F096A1286913B68D57_13</vt:lpwstr>
  </property>
  <property fmtid="{D5CDD505-2E9C-101B-9397-08002B2CF9AE}" pid="4" name="KSOTemplateDocerSaveRecord">
    <vt:lpwstr>eyJoZGlkIjoiODdmMjE1ZjM0N2M1Y2U5Yzk0NzI4OGI1OWY1MWIzNDQiLCJ1c2VySWQiOiI4MzMyMzE4MTIifQ==</vt:lpwstr>
  </property>
</Properties>
</file>